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2F109" w14:textId="77777777" w:rsidR="006529BA" w:rsidRDefault="006529BA">
      <w:pPr>
        <w:spacing w:before="0" w:after="0"/>
        <w:ind w:firstLine="705"/>
        <w:jc w:val="center"/>
        <w:rPr>
          <w:b/>
        </w:rPr>
      </w:pPr>
    </w:p>
    <w:p w14:paraId="172ED984" w14:textId="77777777" w:rsidR="006529BA" w:rsidRDefault="006529BA">
      <w:pPr>
        <w:spacing w:before="0" w:after="0"/>
        <w:rPr>
          <w:b/>
        </w:rPr>
      </w:pPr>
    </w:p>
    <w:p w14:paraId="4B6A822C" w14:textId="77777777" w:rsidR="00627CDC" w:rsidRDefault="00627CDC" w:rsidP="00627CDC">
      <w:pPr>
        <w:tabs>
          <w:tab w:val="center" w:pos="4419"/>
          <w:tab w:val="right" w:pos="8838"/>
        </w:tabs>
        <w:jc w:val="center"/>
      </w:pPr>
      <w:r>
        <w:rPr>
          <w:noProof/>
        </w:rPr>
        <w:drawing>
          <wp:inline distT="0" distB="0" distL="0" distR="0" wp14:anchorId="717737D1" wp14:editId="05A542B8">
            <wp:extent cx="819146" cy="819146"/>
            <wp:effectExtent l="0" t="0" r="4" b="4"/>
            <wp:docPr id="1065159871" name="Imagem 3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819146" cy="819146"/>
                    </a:xfrm>
                    <a:prstGeom prst="rect">
                      <a:avLst/>
                    </a:prstGeom>
                    <a:noFill/>
                    <a:ln>
                      <a:noFill/>
                      <a:prstDash/>
                    </a:ln>
                  </pic:spPr>
                </pic:pic>
              </a:graphicData>
            </a:graphic>
          </wp:inline>
        </w:drawing>
      </w:r>
    </w:p>
    <w:p w14:paraId="5010A7ED" w14:textId="77777777" w:rsidR="00627CDC" w:rsidRDefault="00627CDC" w:rsidP="00627CDC">
      <w:pPr>
        <w:spacing w:before="0" w:after="0"/>
        <w:jc w:val="center"/>
        <w:rPr>
          <w:b/>
        </w:rPr>
      </w:pPr>
      <w:r>
        <w:rPr>
          <w:b/>
        </w:rPr>
        <w:t>MINISTÉRIO DA EDUCAÇÃO</w:t>
      </w:r>
    </w:p>
    <w:p w14:paraId="2A07160D" w14:textId="77777777" w:rsidR="00627CDC" w:rsidRDefault="00627CDC" w:rsidP="00627CDC">
      <w:pPr>
        <w:spacing w:before="0" w:after="0"/>
        <w:jc w:val="center"/>
        <w:rPr>
          <w:b/>
        </w:rPr>
      </w:pPr>
      <w:r>
        <w:rPr>
          <w:b/>
        </w:rPr>
        <w:t>UNIVERSIDADE FEDERAL DO DELTA DO PARNAÍBA</w:t>
      </w:r>
    </w:p>
    <w:p w14:paraId="4426242D" w14:textId="661B738C" w:rsidR="00627CDC" w:rsidRDefault="00627CDC" w:rsidP="00627CDC">
      <w:pPr>
        <w:spacing w:before="0" w:after="0"/>
        <w:jc w:val="center"/>
        <w:rPr>
          <w:b/>
        </w:rPr>
      </w:pPr>
      <w:r>
        <w:rPr>
          <w:b/>
        </w:rPr>
        <w:t>GABINETE DA REITORIA</w:t>
      </w:r>
    </w:p>
    <w:p w14:paraId="0646BBC7" w14:textId="42B3864D" w:rsidR="00627CDC" w:rsidRDefault="00627CDC" w:rsidP="00627CDC">
      <w:pPr>
        <w:spacing w:line="276" w:lineRule="auto"/>
        <w:rPr>
          <w:b/>
        </w:rPr>
      </w:pPr>
      <w:r>
        <w:rPr>
          <w:b/>
        </w:rPr>
        <w:t xml:space="preserve">PORTARIA Nº </w:t>
      </w:r>
      <w:r w:rsidR="009F35EF">
        <w:rPr>
          <w:b/>
        </w:rPr>
        <w:t>260</w:t>
      </w:r>
      <w:r>
        <w:rPr>
          <w:b/>
        </w:rPr>
        <w:t>/2026-GR</w:t>
      </w:r>
    </w:p>
    <w:p w14:paraId="7B5B663B" w14:textId="5D10F4D9" w:rsidR="006529BA" w:rsidRPr="00627CDC" w:rsidRDefault="00627CDC" w:rsidP="00627CDC">
      <w:pPr>
        <w:jc w:val="right"/>
        <w:rPr>
          <w:b/>
        </w:rPr>
      </w:pPr>
      <w:r>
        <w:rPr>
          <w:b/>
        </w:rPr>
        <w:t xml:space="preserve">Parnaíba-PI, </w:t>
      </w:r>
      <w:r w:rsidR="009F35EF">
        <w:rPr>
          <w:b/>
        </w:rPr>
        <w:t xml:space="preserve">02 </w:t>
      </w:r>
      <w:r>
        <w:rPr>
          <w:b/>
        </w:rPr>
        <w:t>de setembro de 2026</w:t>
      </w:r>
    </w:p>
    <w:p w14:paraId="5C9D8E8C" w14:textId="77777777" w:rsidR="00627CDC" w:rsidRDefault="00000000" w:rsidP="00627CDC">
      <w:pPr>
        <w:spacing w:before="0" w:after="0"/>
        <w:jc w:val="both"/>
        <w:rPr>
          <w:rFonts w:asciiTheme="majorHAnsi" w:hAnsiTheme="majorHAnsi" w:cstheme="majorHAnsi"/>
        </w:rPr>
      </w:pPr>
      <w:r w:rsidRPr="00627CDC">
        <w:rPr>
          <w:rFonts w:asciiTheme="majorHAnsi" w:hAnsiTheme="majorHAnsi" w:cstheme="majorHAnsi"/>
        </w:rPr>
        <w:tab/>
      </w:r>
    </w:p>
    <w:p w14:paraId="7C6DD7FF" w14:textId="55F96B7D" w:rsidR="006529BA" w:rsidRDefault="00000000" w:rsidP="009F35EF">
      <w:pPr>
        <w:spacing w:before="0" w:after="0"/>
        <w:ind w:firstLine="720"/>
        <w:jc w:val="both"/>
        <w:rPr>
          <w:rFonts w:asciiTheme="majorHAnsi" w:hAnsiTheme="majorHAnsi" w:cstheme="majorHAnsi"/>
        </w:rPr>
      </w:pPr>
      <w:r w:rsidRPr="00627CDC">
        <w:rPr>
          <w:rFonts w:asciiTheme="majorHAnsi" w:hAnsiTheme="majorHAnsi" w:cstheme="majorHAnsi"/>
          <w:b/>
          <w:bCs/>
        </w:rPr>
        <w:t>O REITOR DA UNIVERSIDADE FEDERAL DO DELTA DO PARNAÍBA</w:t>
      </w:r>
      <w:r w:rsidR="00627CDC" w:rsidRPr="00627CDC">
        <w:rPr>
          <w:rFonts w:asciiTheme="majorHAnsi" w:hAnsiTheme="majorHAnsi" w:cstheme="majorHAnsi"/>
          <w:b/>
          <w:bCs/>
        </w:rPr>
        <w:t xml:space="preserve"> </w:t>
      </w:r>
      <w:r w:rsidRPr="00627CDC">
        <w:rPr>
          <w:rFonts w:asciiTheme="majorHAnsi" w:hAnsiTheme="majorHAnsi" w:cstheme="majorHAnsi"/>
          <w:b/>
          <w:bCs/>
        </w:rPr>
        <w:t xml:space="preserve">- </w:t>
      </w:r>
      <w:proofErr w:type="spellStart"/>
      <w:r w:rsidRPr="00627CDC">
        <w:rPr>
          <w:rFonts w:asciiTheme="majorHAnsi" w:hAnsiTheme="majorHAnsi" w:cstheme="majorHAnsi"/>
          <w:b/>
          <w:bCs/>
        </w:rPr>
        <w:t>UFDPar</w:t>
      </w:r>
      <w:proofErr w:type="spellEnd"/>
      <w:r w:rsidRPr="00627CDC">
        <w:rPr>
          <w:rFonts w:asciiTheme="majorHAnsi" w:hAnsiTheme="majorHAnsi" w:cstheme="majorHAnsi"/>
          <w:b/>
          <w:bCs/>
        </w:rPr>
        <w:t>,</w:t>
      </w:r>
      <w:r w:rsidRPr="00627CDC">
        <w:rPr>
          <w:rFonts w:asciiTheme="majorHAnsi" w:hAnsiTheme="majorHAnsi" w:cstheme="majorHAnsi"/>
        </w:rPr>
        <w:t xml:space="preserve"> no uso de suas atribuições legais, estatuárias e regimentais, e considerando;</w:t>
      </w:r>
    </w:p>
    <w:p w14:paraId="60C7A540" w14:textId="77777777" w:rsidR="00627CDC" w:rsidRPr="00627CDC" w:rsidRDefault="00627CDC" w:rsidP="00627CDC">
      <w:pPr>
        <w:spacing w:before="0"/>
        <w:jc w:val="both"/>
        <w:rPr>
          <w:rFonts w:asciiTheme="majorHAnsi" w:hAnsiTheme="majorHAnsi" w:cstheme="majorHAnsi"/>
        </w:rPr>
      </w:pPr>
    </w:p>
    <w:p w14:paraId="1D044780" w14:textId="77777777" w:rsidR="006529BA" w:rsidRPr="00627CDC" w:rsidRDefault="00000000" w:rsidP="00627CDC">
      <w:pPr>
        <w:spacing w:before="0"/>
        <w:jc w:val="both"/>
        <w:rPr>
          <w:rFonts w:asciiTheme="majorHAnsi" w:hAnsiTheme="majorHAnsi" w:cstheme="majorHAnsi"/>
        </w:rPr>
      </w:pPr>
      <w:r w:rsidRPr="00627CDC">
        <w:rPr>
          <w:rFonts w:asciiTheme="majorHAnsi" w:hAnsiTheme="majorHAnsi" w:cstheme="majorHAnsi"/>
        </w:rPr>
        <w:tab/>
        <w:t xml:space="preserve">- </w:t>
      </w:r>
      <w:proofErr w:type="gramStart"/>
      <w:r w:rsidRPr="00627CDC">
        <w:rPr>
          <w:rFonts w:asciiTheme="majorHAnsi" w:hAnsiTheme="majorHAnsi" w:cstheme="majorHAnsi"/>
        </w:rPr>
        <w:t>o</w:t>
      </w:r>
      <w:proofErr w:type="gramEnd"/>
      <w:r w:rsidRPr="00627CDC">
        <w:rPr>
          <w:rFonts w:asciiTheme="majorHAnsi" w:hAnsiTheme="majorHAnsi" w:cstheme="majorHAnsi"/>
        </w:rPr>
        <w:t xml:space="preserve"> Art. 37, inciso II, da Constituição Federal;</w:t>
      </w:r>
    </w:p>
    <w:p w14:paraId="4837C8B3" w14:textId="77777777" w:rsidR="006529BA" w:rsidRPr="00627CDC" w:rsidRDefault="00000000" w:rsidP="00627CDC">
      <w:pPr>
        <w:spacing w:before="0"/>
        <w:jc w:val="both"/>
        <w:rPr>
          <w:rFonts w:asciiTheme="majorHAnsi" w:hAnsiTheme="majorHAnsi" w:cstheme="majorHAnsi"/>
        </w:rPr>
      </w:pPr>
      <w:r w:rsidRPr="00627CDC">
        <w:rPr>
          <w:rFonts w:asciiTheme="majorHAnsi" w:hAnsiTheme="majorHAnsi" w:cstheme="majorHAnsi"/>
        </w:rPr>
        <w:tab/>
        <w:t xml:space="preserve">- </w:t>
      </w:r>
      <w:proofErr w:type="gramStart"/>
      <w:r w:rsidRPr="00627CDC">
        <w:rPr>
          <w:rFonts w:asciiTheme="majorHAnsi" w:hAnsiTheme="majorHAnsi" w:cstheme="majorHAnsi"/>
        </w:rPr>
        <w:t>a</w:t>
      </w:r>
      <w:proofErr w:type="gramEnd"/>
      <w:r w:rsidRPr="00627CDC">
        <w:rPr>
          <w:rFonts w:asciiTheme="majorHAnsi" w:hAnsiTheme="majorHAnsi" w:cstheme="majorHAnsi"/>
        </w:rPr>
        <w:t xml:space="preserve"> Portaria MEC Nº 1375, de 14/07/2023, publicada no DOU de 17/07/2023, Edição: 134, Seção: 1, Pág. 26;</w:t>
      </w:r>
    </w:p>
    <w:p w14:paraId="1F1B54A5" w14:textId="77777777" w:rsidR="006529BA" w:rsidRPr="00627CDC" w:rsidRDefault="00000000" w:rsidP="00627CDC">
      <w:pPr>
        <w:spacing w:before="0"/>
        <w:jc w:val="both"/>
        <w:rPr>
          <w:rFonts w:asciiTheme="majorHAnsi" w:hAnsiTheme="majorHAnsi" w:cstheme="majorHAnsi"/>
        </w:rPr>
      </w:pPr>
      <w:r w:rsidRPr="00627CDC">
        <w:rPr>
          <w:rFonts w:asciiTheme="majorHAnsi" w:hAnsiTheme="majorHAnsi" w:cstheme="majorHAnsi"/>
        </w:rPr>
        <w:tab/>
        <w:t xml:space="preserve">- </w:t>
      </w:r>
      <w:proofErr w:type="gramStart"/>
      <w:r w:rsidRPr="00627CDC">
        <w:rPr>
          <w:rFonts w:asciiTheme="majorHAnsi" w:hAnsiTheme="majorHAnsi" w:cstheme="majorHAnsi"/>
        </w:rPr>
        <w:t>o</w:t>
      </w:r>
      <w:proofErr w:type="gramEnd"/>
      <w:r w:rsidRPr="00627CDC">
        <w:rPr>
          <w:rFonts w:asciiTheme="majorHAnsi" w:hAnsiTheme="majorHAnsi" w:cstheme="majorHAnsi"/>
        </w:rPr>
        <w:t xml:space="preserve"> Edital n.º 11/2023, de 14/09/2023, publicado no DOU de 15/09/2023, Edição: 177, Seção 3, Pág. 70;</w:t>
      </w:r>
    </w:p>
    <w:p w14:paraId="768AFAB5" w14:textId="77777777" w:rsidR="006529BA" w:rsidRPr="00627CDC" w:rsidRDefault="00000000" w:rsidP="00627CDC">
      <w:pPr>
        <w:spacing w:before="0"/>
        <w:jc w:val="both"/>
        <w:rPr>
          <w:rFonts w:asciiTheme="majorHAnsi" w:hAnsiTheme="majorHAnsi" w:cstheme="majorHAnsi"/>
        </w:rPr>
      </w:pPr>
      <w:r w:rsidRPr="00627CDC">
        <w:rPr>
          <w:rFonts w:asciiTheme="majorHAnsi" w:hAnsiTheme="majorHAnsi" w:cstheme="majorHAnsi"/>
        </w:rPr>
        <w:tab/>
        <w:t xml:space="preserve">- </w:t>
      </w:r>
      <w:proofErr w:type="gramStart"/>
      <w:r w:rsidRPr="00627CDC">
        <w:rPr>
          <w:rFonts w:asciiTheme="majorHAnsi" w:hAnsiTheme="majorHAnsi" w:cstheme="majorHAnsi"/>
        </w:rPr>
        <w:t>o</w:t>
      </w:r>
      <w:proofErr w:type="gramEnd"/>
      <w:r w:rsidRPr="00627CDC">
        <w:rPr>
          <w:rFonts w:asciiTheme="majorHAnsi" w:hAnsiTheme="majorHAnsi" w:cstheme="majorHAnsi"/>
        </w:rPr>
        <w:t xml:space="preserve"> Edital de Homologação n.º 17/2023, de 26/12/2023, publicado no DOU. De 28/12/2023, Edição: 245, Seção: 3, Pág. 70;</w:t>
      </w:r>
    </w:p>
    <w:p w14:paraId="1D18637B" w14:textId="24056EDD" w:rsidR="006529BA" w:rsidRPr="00627CDC" w:rsidRDefault="00000000" w:rsidP="00627CDC">
      <w:pPr>
        <w:spacing w:before="0"/>
        <w:jc w:val="both"/>
        <w:rPr>
          <w:rFonts w:asciiTheme="majorHAnsi" w:hAnsiTheme="majorHAnsi" w:cstheme="majorHAnsi"/>
        </w:rPr>
      </w:pPr>
      <w:r w:rsidRPr="00627CDC">
        <w:rPr>
          <w:rFonts w:asciiTheme="majorHAnsi" w:hAnsiTheme="majorHAnsi" w:cstheme="majorHAnsi"/>
        </w:rPr>
        <w:tab/>
        <w:t xml:space="preserve">- </w:t>
      </w:r>
      <w:proofErr w:type="gramStart"/>
      <w:r w:rsidRPr="00627CDC">
        <w:rPr>
          <w:rFonts w:asciiTheme="majorHAnsi" w:hAnsiTheme="majorHAnsi" w:cstheme="majorHAnsi"/>
        </w:rPr>
        <w:t>o</w:t>
      </w:r>
      <w:proofErr w:type="gramEnd"/>
      <w:r w:rsidRPr="00627CDC">
        <w:rPr>
          <w:rFonts w:asciiTheme="majorHAnsi" w:hAnsiTheme="majorHAnsi" w:cstheme="majorHAnsi"/>
        </w:rPr>
        <w:t xml:space="preserve"> Edital de prorrogação da Homologação n.º 10/2025, de 19/12/2025, publicado no DOU </w:t>
      </w:r>
      <w:r w:rsidR="00627CDC">
        <w:rPr>
          <w:rFonts w:asciiTheme="majorHAnsi" w:hAnsiTheme="majorHAnsi" w:cstheme="majorHAnsi"/>
        </w:rPr>
        <w:t>d</w:t>
      </w:r>
      <w:r w:rsidRPr="00627CDC">
        <w:rPr>
          <w:rFonts w:asciiTheme="majorHAnsi" w:hAnsiTheme="majorHAnsi" w:cstheme="majorHAnsi"/>
        </w:rPr>
        <w:t>e 22/12/2025, Edição: 243, Seção: 3, Pág. 61;</w:t>
      </w:r>
    </w:p>
    <w:p w14:paraId="4BAD2393" w14:textId="7DB6952D" w:rsidR="006529BA" w:rsidRPr="00627CDC" w:rsidRDefault="00000000" w:rsidP="00627CDC">
      <w:pPr>
        <w:spacing w:before="0"/>
        <w:jc w:val="both"/>
        <w:rPr>
          <w:rFonts w:asciiTheme="majorHAnsi" w:hAnsiTheme="majorHAnsi" w:cstheme="majorHAnsi"/>
        </w:rPr>
      </w:pPr>
      <w:r w:rsidRPr="00627CDC">
        <w:rPr>
          <w:rFonts w:asciiTheme="majorHAnsi" w:hAnsiTheme="majorHAnsi" w:cstheme="majorHAnsi"/>
        </w:rPr>
        <w:tab/>
        <w:t>-</w:t>
      </w:r>
      <w:proofErr w:type="gramStart"/>
      <w:r w:rsidRPr="00627CDC">
        <w:rPr>
          <w:rFonts w:asciiTheme="majorHAnsi" w:hAnsiTheme="majorHAnsi" w:cstheme="majorHAnsi"/>
        </w:rPr>
        <w:t>o</w:t>
      </w:r>
      <w:proofErr w:type="gramEnd"/>
      <w:r w:rsidRPr="00627CDC">
        <w:rPr>
          <w:rFonts w:asciiTheme="majorHAnsi" w:hAnsiTheme="majorHAnsi" w:cstheme="majorHAnsi"/>
        </w:rPr>
        <w:t xml:space="preserve"> Processo n</w:t>
      </w:r>
      <w:r w:rsidR="00627CDC">
        <w:rPr>
          <w:rFonts w:asciiTheme="majorHAnsi" w:hAnsiTheme="majorHAnsi" w:cstheme="majorHAnsi"/>
        </w:rPr>
        <w:t xml:space="preserve">º </w:t>
      </w:r>
      <w:r w:rsidRPr="00627CDC">
        <w:rPr>
          <w:rFonts w:asciiTheme="majorHAnsi" w:hAnsiTheme="majorHAnsi" w:cstheme="majorHAnsi"/>
        </w:rPr>
        <w:t>23855. 005664/2023-46, resolve:</w:t>
      </w:r>
    </w:p>
    <w:p w14:paraId="5023E5A9" w14:textId="77777777" w:rsidR="00627CDC" w:rsidRDefault="00000000">
      <w:pPr>
        <w:jc w:val="both"/>
        <w:rPr>
          <w:rFonts w:asciiTheme="majorHAnsi" w:hAnsiTheme="majorHAnsi" w:cstheme="majorHAnsi"/>
        </w:rPr>
      </w:pPr>
      <w:r w:rsidRPr="00627CDC">
        <w:rPr>
          <w:rFonts w:asciiTheme="majorHAnsi" w:hAnsiTheme="majorHAnsi" w:cstheme="majorHAnsi"/>
        </w:rPr>
        <w:tab/>
      </w:r>
    </w:p>
    <w:p w14:paraId="0BBE75FB" w14:textId="22669F49" w:rsidR="00627CDC" w:rsidRDefault="00000000" w:rsidP="00627CDC">
      <w:pPr>
        <w:ind w:firstLine="720"/>
        <w:jc w:val="both"/>
        <w:rPr>
          <w:rFonts w:asciiTheme="majorHAnsi" w:hAnsiTheme="majorHAnsi" w:cstheme="majorHAnsi"/>
        </w:rPr>
      </w:pPr>
      <w:r w:rsidRPr="00627CDC">
        <w:rPr>
          <w:rFonts w:asciiTheme="majorHAnsi" w:hAnsiTheme="majorHAnsi" w:cstheme="majorHAnsi"/>
          <w:b/>
          <w:bCs/>
        </w:rPr>
        <w:t>Art. 1º</w:t>
      </w:r>
      <w:r w:rsidRPr="00627CDC">
        <w:rPr>
          <w:rFonts w:asciiTheme="majorHAnsi" w:hAnsiTheme="majorHAnsi" w:cstheme="majorHAnsi"/>
        </w:rPr>
        <w:t xml:space="preserve"> Nomear, em caráter efetivo, de acordo com os artigos 9,</w:t>
      </w:r>
      <w:r w:rsidR="00627CDC">
        <w:rPr>
          <w:rFonts w:asciiTheme="majorHAnsi" w:hAnsiTheme="majorHAnsi" w:cstheme="majorHAnsi"/>
        </w:rPr>
        <w:t xml:space="preserve"> </w:t>
      </w:r>
      <w:r w:rsidRPr="00627CDC">
        <w:rPr>
          <w:rFonts w:asciiTheme="majorHAnsi" w:hAnsiTheme="majorHAnsi" w:cstheme="majorHAnsi"/>
        </w:rPr>
        <w:t>10,</w:t>
      </w:r>
      <w:r w:rsidR="00627CDC">
        <w:rPr>
          <w:rFonts w:asciiTheme="majorHAnsi" w:hAnsiTheme="majorHAnsi" w:cstheme="majorHAnsi"/>
        </w:rPr>
        <w:t xml:space="preserve"> </w:t>
      </w:r>
      <w:r w:rsidRPr="00627CDC">
        <w:rPr>
          <w:rFonts w:asciiTheme="majorHAnsi" w:hAnsiTheme="majorHAnsi" w:cstheme="majorHAnsi"/>
        </w:rPr>
        <w:t>13 e 20, com seus incisos e parágrafos aplicáveis à espécie da Lei n</w:t>
      </w:r>
      <w:r w:rsidR="00627CDC">
        <w:rPr>
          <w:rFonts w:asciiTheme="majorHAnsi" w:hAnsiTheme="majorHAnsi" w:cstheme="majorHAnsi"/>
        </w:rPr>
        <w:t xml:space="preserve">º </w:t>
      </w:r>
      <w:r w:rsidRPr="00627CDC">
        <w:rPr>
          <w:rFonts w:asciiTheme="majorHAnsi" w:hAnsiTheme="majorHAnsi" w:cstheme="majorHAnsi"/>
        </w:rPr>
        <w:t>8.112/90</w:t>
      </w:r>
      <w:r w:rsidR="00627CDC">
        <w:rPr>
          <w:rFonts w:asciiTheme="majorHAnsi" w:hAnsiTheme="majorHAnsi" w:cstheme="majorHAnsi"/>
        </w:rPr>
        <w:t xml:space="preserve"> e</w:t>
      </w:r>
      <w:r w:rsidRPr="00627CDC">
        <w:rPr>
          <w:rFonts w:asciiTheme="majorHAnsi" w:hAnsiTheme="majorHAnsi" w:cstheme="majorHAnsi"/>
        </w:rPr>
        <w:t xml:space="preserve"> 11/12/1990, com as alterações da Lei </w:t>
      </w:r>
      <w:r w:rsidR="00627CDC">
        <w:rPr>
          <w:rFonts w:asciiTheme="majorHAnsi" w:hAnsiTheme="majorHAnsi" w:cstheme="majorHAnsi"/>
        </w:rPr>
        <w:t>nº</w:t>
      </w:r>
      <w:r w:rsidRPr="00627CDC">
        <w:rPr>
          <w:rFonts w:asciiTheme="majorHAnsi" w:hAnsiTheme="majorHAnsi" w:cstheme="majorHAnsi"/>
        </w:rPr>
        <w:t xml:space="preserve"> 9.527, de 12/12/97 e do artigo 6</w:t>
      </w:r>
      <w:r w:rsidR="00627CDC">
        <w:rPr>
          <w:rFonts w:asciiTheme="majorHAnsi" w:hAnsiTheme="majorHAnsi" w:cstheme="majorHAnsi"/>
        </w:rPr>
        <w:t>º</w:t>
      </w:r>
      <w:r w:rsidRPr="00627CDC">
        <w:rPr>
          <w:rFonts w:asciiTheme="majorHAnsi" w:hAnsiTheme="majorHAnsi" w:cstheme="majorHAnsi"/>
        </w:rPr>
        <w:t>, da Emenda Constitucional n</w:t>
      </w:r>
      <w:r w:rsidR="00627CDC">
        <w:rPr>
          <w:rFonts w:asciiTheme="majorHAnsi" w:hAnsiTheme="majorHAnsi" w:cstheme="majorHAnsi"/>
        </w:rPr>
        <w:t xml:space="preserve">º </w:t>
      </w:r>
      <w:r w:rsidRPr="00627CDC">
        <w:rPr>
          <w:rFonts w:asciiTheme="majorHAnsi" w:hAnsiTheme="majorHAnsi" w:cstheme="majorHAnsi"/>
        </w:rPr>
        <w:t xml:space="preserve">19, de 04/06/98, para o cargo de Assistente em Administração, Nível de Classificação D, Padrão de vencimento 1, com lotação no Campus Ministro Reis Velloso, Universidade Federal do Delta do Parnaíba, ANAIDIA ALVES DE MOURA, para o Código de Vaga nº 1022384.  </w:t>
      </w:r>
    </w:p>
    <w:p w14:paraId="66AD2C25" w14:textId="77777777" w:rsidR="00627CDC" w:rsidRDefault="00627CDC" w:rsidP="00627CDC">
      <w:pPr>
        <w:ind w:firstLine="720"/>
        <w:jc w:val="both"/>
        <w:rPr>
          <w:rFonts w:asciiTheme="majorHAnsi" w:hAnsiTheme="majorHAnsi" w:cstheme="majorHAnsi"/>
          <w:b/>
          <w:bCs/>
        </w:rPr>
      </w:pPr>
    </w:p>
    <w:p w14:paraId="7F2311DD" w14:textId="55242506" w:rsidR="006529BA" w:rsidRPr="00627CDC" w:rsidRDefault="00000000" w:rsidP="00627CDC">
      <w:pPr>
        <w:ind w:firstLine="720"/>
        <w:jc w:val="both"/>
        <w:rPr>
          <w:rFonts w:asciiTheme="majorHAnsi" w:hAnsiTheme="majorHAnsi" w:cstheme="majorHAnsi"/>
        </w:rPr>
      </w:pPr>
      <w:r w:rsidRPr="00627CDC">
        <w:rPr>
          <w:rFonts w:asciiTheme="majorHAnsi" w:hAnsiTheme="majorHAnsi" w:cstheme="majorHAnsi"/>
          <w:b/>
          <w:bCs/>
        </w:rPr>
        <w:t>Art. 2º</w:t>
      </w:r>
      <w:r w:rsidRPr="00627CDC">
        <w:rPr>
          <w:rFonts w:asciiTheme="majorHAnsi" w:hAnsiTheme="majorHAnsi" w:cstheme="majorHAnsi"/>
        </w:rPr>
        <w:t xml:space="preserve"> A posse ocorrerá no prazo de até 30 (trinta) dias contados da publicação desta Portaria no Diário Oficial da União.</w:t>
      </w:r>
    </w:p>
    <w:p w14:paraId="27847087" w14:textId="77777777" w:rsidR="00627CDC" w:rsidRDefault="00627CDC" w:rsidP="00627CDC">
      <w:pPr>
        <w:spacing w:before="0" w:after="0"/>
        <w:jc w:val="center"/>
        <w:rPr>
          <w:rFonts w:asciiTheme="majorHAnsi" w:hAnsiTheme="majorHAnsi" w:cstheme="majorHAnsi"/>
        </w:rPr>
      </w:pPr>
    </w:p>
    <w:p w14:paraId="5D7D8FE7" w14:textId="7F7ADD30" w:rsidR="006529BA" w:rsidRDefault="00627CDC" w:rsidP="00627CDC">
      <w:pPr>
        <w:spacing w:before="0" w:after="0"/>
        <w:jc w:val="center"/>
        <w:rPr>
          <w:rFonts w:asciiTheme="majorHAnsi" w:hAnsiTheme="majorHAnsi" w:cstheme="majorHAnsi"/>
        </w:rPr>
      </w:pPr>
      <w:r w:rsidRPr="00627CDC">
        <w:rPr>
          <w:rFonts w:asciiTheme="majorHAnsi" w:hAnsiTheme="majorHAnsi" w:cstheme="majorHAnsi"/>
        </w:rPr>
        <w:t>JOÃO PAULO SALES MACEDO</w:t>
      </w:r>
    </w:p>
    <w:p w14:paraId="26C21D4C" w14:textId="6013CC99" w:rsidR="00627CDC" w:rsidRPr="00627CDC" w:rsidRDefault="00627CDC" w:rsidP="00627CDC">
      <w:pPr>
        <w:spacing w:before="0" w:after="0"/>
        <w:jc w:val="center"/>
        <w:rPr>
          <w:rFonts w:asciiTheme="majorHAnsi" w:hAnsiTheme="majorHAnsi" w:cstheme="majorHAnsi"/>
        </w:rPr>
      </w:pPr>
      <w:r>
        <w:rPr>
          <w:rFonts w:asciiTheme="majorHAnsi" w:hAnsiTheme="majorHAnsi" w:cstheme="majorHAnsi"/>
        </w:rPr>
        <w:t>REITOR</w:t>
      </w:r>
    </w:p>
    <w:p w14:paraId="35066C7B" w14:textId="77777777" w:rsidR="006529BA" w:rsidRPr="00627CDC" w:rsidRDefault="006529BA">
      <w:pPr>
        <w:spacing w:before="0" w:after="140" w:line="276" w:lineRule="auto"/>
        <w:ind w:left="160"/>
        <w:rPr>
          <w:rFonts w:asciiTheme="majorHAnsi" w:hAnsiTheme="majorHAnsi" w:cstheme="majorHAnsi"/>
          <w:sz w:val="28"/>
        </w:rPr>
      </w:pPr>
    </w:p>
    <w:sectPr w:rsidR="006529BA" w:rsidRPr="00627CDC">
      <w:headerReference w:type="default" r:id="rId7"/>
      <w:footerReference w:type="default" r:id="rId8"/>
      <w:pgSz w:w="11906" w:h="16838"/>
      <w:pgMar w:top="1191" w:right="851" w:bottom="624" w:left="1701" w:header="1134" w:footer="567" w:gutter="0"/>
      <w:pgNumType w:start="1"/>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63509" w14:textId="77777777" w:rsidR="000C6136" w:rsidRDefault="000C6136">
      <w:pPr>
        <w:spacing w:before="0" w:after="0"/>
      </w:pPr>
      <w:r>
        <w:separator/>
      </w:r>
    </w:p>
  </w:endnote>
  <w:endnote w:type="continuationSeparator" w:id="0">
    <w:p w14:paraId="157EC767" w14:textId="77777777" w:rsidR="000C6136" w:rsidRDefault="000C613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0761E" w14:textId="77777777" w:rsidR="006529BA" w:rsidRDefault="006529BA">
    <w:pPr>
      <w:widowControl w:val="0"/>
      <w:spacing w:before="0" w:after="0" w:line="276" w:lineRule="auto"/>
    </w:pPr>
  </w:p>
  <w:tbl>
    <w:tblPr>
      <w:tblW w:w="9345" w:type="dxa"/>
      <w:tblLayout w:type="fixed"/>
      <w:tblLook w:val="0000" w:firstRow="0" w:lastRow="0" w:firstColumn="0" w:lastColumn="0" w:noHBand="0" w:noVBand="0"/>
    </w:tblPr>
    <w:tblGrid>
      <w:gridCol w:w="3115"/>
      <w:gridCol w:w="3115"/>
      <w:gridCol w:w="3115"/>
    </w:tblGrid>
    <w:tr w:rsidR="006529BA" w14:paraId="5CE811CF" w14:textId="77777777">
      <w:tc>
        <w:tcPr>
          <w:tcW w:w="3115" w:type="dxa"/>
        </w:tcPr>
        <w:p w14:paraId="05003B50" w14:textId="77777777" w:rsidR="006529BA" w:rsidRDefault="006529BA">
          <w:pPr>
            <w:widowControl w:val="0"/>
            <w:tabs>
              <w:tab w:val="center" w:pos="4252"/>
              <w:tab w:val="right" w:pos="8504"/>
            </w:tabs>
            <w:spacing w:before="0" w:after="0"/>
            <w:rPr>
              <w:color w:val="000000"/>
            </w:rPr>
          </w:pPr>
        </w:p>
      </w:tc>
      <w:tc>
        <w:tcPr>
          <w:tcW w:w="3115" w:type="dxa"/>
        </w:tcPr>
        <w:p w14:paraId="74F01A71" w14:textId="77777777" w:rsidR="006529BA" w:rsidRDefault="006529BA">
          <w:pPr>
            <w:widowControl w:val="0"/>
            <w:tabs>
              <w:tab w:val="center" w:pos="4252"/>
              <w:tab w:val="right" w:pos="8504"/>
            </w:tabs>
            <w:spacing w:before="0" w:after="0"/>
            <w:jc w:val="center"/>
            <w:rPr>
              <w:color w:val="000000"/>
            </w:rPr>
          </w:pPr>
        </w:p>
      </w:tc>
      <w:tc>
        <w:tcPr>
          <w:tcW w:w="3115" w:type="dxa"/>
        </w:tcPr>
        <w:p w14:paraId="3A334B99" w14:textId="77777777" w:rsidR="006529BA" w:rsidRDefault="006529BA">
          <w:pPr>
            <w:widowControl w:val="0"/>
            <w:tabs>
              <w:tab w:val="center" w:pos="4252"/>
              <w:tab w:val="right" w:pos="8504"/>
            </w:tabs>
            <w:spacing w:before="0" w:after="0"/>
            <w:ind w:right="-115"/>
            <w:jc w:val="right"/>
            <w:rPr>
              <w:color w:val="000000"/>
            </w:rPr>
          </w:pPr>
        </w:p>
      </w:tc>
    </w:tr>
  </w:tbl>
  <w:p w14:paraId="4E001B40" w14:textId="77777777" w:rsidR="006529BA" w:rsidRDefault="006529BA">
    <w:pPr>
      <w:tabs>
        <w:tab w:val="center" w:pos="4252"/>
        <w:tab w:val="right" w:pos="8504"/>
      </w:tabs>
      <w:spacing w:before="0" w:after="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426A9B" w14:textId="77777777" w:rsidR="000C6136" w:rsidRDefault="000C6136">
      <w:pPr>
        <w:spacing w:before="0" w:after="0"/>
      </w:pPr>
      <w:r>
        <w:separator/>
      </w:r>
    </w:p>
  </w:footnote>
  <w:footnote w:type="continuationSeparator" w:id="0">
    <w:p w14:paraId="1E7C1946" w14:textId="77777777" w:rsidR="000C6136" w:rsidRDefault="000C6136">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1C212" w14:textId="77777777" w:rsidR="006529BA" w:rsidRDefault="006529BA" w:rsidP="00627CDC">
    <w:pPr>
      <w:spacing w:before="0" w:after="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529BA"/>
    <w:rsid w:val="000C6136"/>
    <w:rsid w:val="00291772"/>
    <w:rsid w:val="00627CDC"/>
    <w:rsid w:val="006529BA"/>
    <w:rsid w:val="009F35EF"/>
    <w:rsid w:val="00D72A1C"/>
    <w:rsid w:val="00F8696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EFFAC"/>
  <w15:docId w15:val="{198F7FA9-6A73-45B8-82F6-428B80984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pt-BR" w:eastAsia="pt-B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pPr>
  </w:style>
  <w:style w:type="paragraph" w:styleId="Ttulo1">
    <w:name w:val="heading 1"/>
    <w:basedOn w:val="Normal"/>
    <w:next w:val="Normal"/>
    <w:uiPriority w:val="9"/>
    <w:qFormat/>
    <w:pPr>
      <w:keepNext/>
      <w:keepLines/>
      <w:spacing w:before="48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nfaseforte">
    <w:name w:val="Ênfase forte"/>
    <w:qFormat/>
    <w:rPr>
      <w:b/>
      <w:bCs/>
    </w:rPr>
  </w:style>
  <w:style w:type="paragraph" w:styleId="Ttulo">
    <w:name w:val="Title"/>
    <w:basedOn w:val="Normal"/>
    <w:next w:val="Corpodetexto"/>
    <w:uiPriority w:val="10"/>
    <w:qFormat/>
    <w:pPr>
      <w:keepNext/>
      <w:spacing w:before="240"/>
    </w:pPr>
    <w:rPr>
      <w:rFonts w:ascii="Liberation Sans" w:eastAsia="Liberation Sans" w:hAnsi="Liberation Sans" w:cs="Liberation Sans"/>
      <w:sz w:val="28"/>
      <w:szCs w:val="28"/>
    </w:rPr>
  </w:style>
  <w:style w:type="paragraph" w:styleId="Corpodetexto">
    <w:name w:val="Body Text"/>
    <w:basedOn w:val="Normal"/>
    <w:pPr>
      <w:spacing w:before="0" w:after="140" w:line="276" w:lineRule="auto"/>
    </w:pPr>
  </w:style>
  <w:style w:type="paragraph" w:styleId="Lista">
    <w:name w:val="List"/>
    <w:basedOn w:val="Corpodetexto"/>
    <w:rPr>
      <w:rFonts w:cs="Arial"/>
    </w:rPr>
  </w:style>
  <w:style w:type="paragraph" w:styleId="Legenda">
    <w:name w:val="caption"/>
    <w:basedOn w:val="Normal"/>
    <w:qFormat/>
    <w:pPr>
      <w:suppressLineNumbers/>
    </w:pPr>
    <w:rPr>
      <w:rFonts w:cs="Arial"/>
      <w:i/>
      <w:iCs/>
    </w:rPr>
  </w:style>
  <w:style w:type="paragraph" w:customStyle="1" w:styleId="ndice">
    <w:name w:val="Índice"/>
    <w:basedOn w:val="Normal"/>
    <w:qFormat/>
    <w:pPr>
      <w:suppressLineNumbers/>
    </w:pPr>
    <w:rPr>
      <w:rFonts w:cs="Arial"/>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CabealhoeRodap">
    <w:name w:val="Cabeçalho e Rodapé"/>
    <w:basedOn w:val="Normal"/>
    <w:qFormat/>
  </w:style>
  <w:style w:type="paragraph" w:styleId="Cabealho">
    <w:name w:val="header"/>
    <w:basedOn w:val="CabealhoeRodap"/>
  </w:style>
  <w:style w:type="paragraph" w:styleId="Rodap">
    <w:name w:val="footer"/>
    <w:basedOn w:val="CabealhoeRodap"/>
  </w:style>
  <w:style w:type="paragraph" w:customStyle="1" w:styleId="Default">
    <w:name w:val="Default"/>
    <w:qFormat/>
    <w:pPr>
      <w:spacing w:before="120" w:after="120"/>
    </w:pPr>
    <w:rPr>
      <w:color w:val="000000"/>
    </w:rPr>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338</TotalTime>
  <Pages>1</Pages>
  <Words>238</Words>
  <Characters>1290</Characters>
  <Application>Microsoft Office Word</Application>
  <DocSecurity>0</DocSecurity>
  <Lines>10</Lines>
  <Paragraphs>3</Paragraphs>
  <ScaleCrop>false</ScaleCrop>
  <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PORTARIA Nº 119, DE 22 DE ABRIL DE 2025 - PORTARIA Nº 119, DE 22 DE ABRIL DE 2025 - DOU - Imprensa Nacional</dc:title>
  <dc:subject/>
  <dc:creator>UFDPar</dc:creator>
  <dc:description/>
  <cp:lastModifiedBy>UFDPAR</cp:lastModifiedBy>
  <cp:revision>42</cp:revision>
  <cp:lastPrinted>2024-05-07T11:29:00Z</cp:lastPrinted>
  <dcterms:created xsi:type="dcterms:W3CDTF">2025-05-16T12:56:00Z</dcterms:created>
  <dcterms:modified xsi:type="dcterms:W3CDTF">2026-09-02T12:09:00Z</dcterms:modified>
  <dc:language>pt-BR</dc:language>
</cp:coreProperties>
</file>